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C5F">
      <w:pPr>
        <w:contextualSpacing/>
        <w:jc w:val="center"/>
        <w:rPr>
          <w:color w:val="000000"/>
          <w:sz w:val="32"/>
        </w:rPr>
      </w:pPr>
      <w:r>
        <w:rPr>
          <w:color w:val="000000"/>
        </w:rPr>
        <w:drawing>
          <wp:inline distT="0" distB="0" distL="0" distR="0">
            <wp:extent cx="483870" cy="571500"/>
            <wp:effectExtent l="0" t="0" r="0" b="0"/>
            <wp:docPr id="1" name="Рисунок 4" descr="Герб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Герб новый"/>
                    <pic:cNvPicPr>
                      <a:picLocks noChangeAspect="1" noChangeArrowheads="1"/>
                    </pic:cNvPicPr>
                  </pic:nvPicPr>
                  <pic:blipFill>
                    <a:blip r:embed="rId5" cstate="print"/>
                    <a:srcRect/>
                    <a:stretch>
                      <a:fillRect/>
                    </a:stretch>
                  </pic:blipFill>
                  <pic:spPr>
                    <a:xfrm>
                      <a:off x="0" y="0"/>
                      <a:ext cx="485775" cy="573322"/>
                    </a:xfrm>
                    <a:prstGeom prst="rect">
                      <a:avLst/>
                    </a:prstGeom>
                    <a:noFill/>
                    <a:ln w="9525">
                      <a:noFill/>
                      <a:miter lim="800000"/>
                      <a:headEnd/>
                      <a:tailEnd/>
                    </a:ln>
                  </pic:spPr>
                </pic:pic>
              </a:graphicData>
            </a:graphic>
          </wp:inline>
        </w:drawing>
      </w:r>
    </w:p>
    <w:p w14:paraId="5C140255">
      <w:pPr>
        <w:contextualSpacing/>
        <w:jc w:val="center"/>
        <w:rPr>
          <w:b/>
          <w:color w:val="000000"/>
          <w:sz w:val="32"/>
        </w:rPr>
      </w:pPr>
      <w:r>
        <w:rPr>
          <w:b/>
          <w:color w:val="000000"/>
          <w:sz w:val="32"/>
        </w:rPr>
        <w:t xml:space="preserve">Администрация </w:t>
      </w:r>
    </w:p>
    <w:p w14:paraId="04DA945C">
      <w:pPr>
        <w:contextualSpacing/>
        <w:jc w:val="center"/>
        <w:rPr>
          <w:b/>
          <w:color w:val="000000"/>
          <w:sz w:val="32"/>
        </w:rPr>
      </w:pPr>
      <w:r>
        <w:rPr>
          <w:b/>
          <w:color w:val="000000"/>
          <w:sz w:val="32"/>
        </w:rPr>
        <w:t>Большеболдинского муниципального округа</w:t>
      </w:r>
    </w:p>
    <w:p w14:paraId="5D5F214D">
      <w:pPr>
        <w:contextualSpacing/>
        <w:jc w:val="center"/>
        <w:rPr>
          <w:b/>
          <w:color w:val="000000"/>
          <w:sz w:val="32"/>
        </w:rPr>
      </w:pPr>
      <w:r>
        <w:rPr>
          <w:b/>
          <w:color w:val="000000"/>
          <w:sz w:val="32"/>
        </w:rPr>
        <w:t xml:space="preserve"> Нижегородской области </w:t>
      </w:r>
    </w:p>
    <w:p w14:paraId="383A27DD">
      <w:pPr>
        <w:contextualSpacing/>
        <w:rPr>
          <w:b/>
          <w:color w:val="000000"/>
          <w:sz w:val="32"/>
        </w:rPr>
      </w:pPr>
      <w:r>
        <w:rPr>
          <w:color w:val="000000"/>
          <w:sz w:val="32"/>
        </w:rPr>
        <w:t xml:space="preserve">         </w:t>
      </w:r>
      <w:r>
        <w:rPr>
          <w:b/>
          <w:color w:val="000000"/>
          <w:sz w:val="32"/>
        </w:rPr>
        <w:t xml:space="preserve"> </w:t>
      </w:r>
    </w:p>
    <w:p w14:paraId="00A41042">
      <w:pPr>
        <w:keepNext/>
        <w:contextualSpacing/>
        <w:jc w:val="center"/>
        <w:outlineLvl w:val="2"/>
        <w:rPr>
          <w:b/>
          <w:color w:val="000000"/>
          <w:sz w:val="32"/>
        </w:rPr>
      </w:pPr>
      <w:r>
        <w:rPr>
          <w:b/>
          <w:color w:val="000000"/>
          <w:sz w:val="32"/>
        </w:rPr>
        <w:t xml:space="preserve">ПОСТАНОВЛЕНИЕ </w:t>
      </w:r>
    </w:p>
    <w:p w14:paraId="78AB5466">
      <w:pPr>
        <w:contextualSpacing/>
        <w:rPr>
          <w:color w:val="000000"/>
          <w:sz w:val="24"/>
          <w:szCs w:val="24"/>
        </w:rPr>
      </w:pPr>
    </w:p>
    <w:p w14:paraId="51F2BCD6">
      <w:pPr>
        <w:ind w:left="142" w:leftChars="0" w:hanging="142" w:firstLineChars="0"/>
        <w:contextualSpacing/>
        <w:rPr>
          <w:rFonts w:hint="default"/>
          <w:b/>
          <w:color w:val="000000"/>
          <w:szCs w:val="28"/>
          <w:lang w:val="ru-RU"/>
        </w:rPr>
      </w:pPr>
      <w:r>
        <w:rPr>
          <w:b/>
          <w:color w:val="000000"/>
          <w:szCs w:val="28"/>
          <w:lang w:val="ru-RU"/>
        </w:rPr>
        <w:t>о</w:t>
      </w:r>
      <w:r>
        <w:rPr>
          <w:b/>
          <w:color w:val="000000"/>
          <w:szCs w:val="28"/>
        </w:rPr>
        <w:t>т</w:t>
      </w:r>
      <w:r>
        <w:rPr>
          <w:rFonts w:hint="default"/>
          <w:b/>
          <w:color w:val="000000"/>
          <w:szCs w:val="28"/>
          <w:lang w:val="ru-RU"/>
        </w:rPr>
        <w:t xml:space="preserve"> 06.08.2026</w:t>
      </w:r>
      <w:r>
        <w:rPr>
          <w:b/>
          <w:color w:val="000000"/>
          <w:szCs w:val="28"/>
        </w:rPr>
        <w:t xml:space="preserve">                                                             </w:t>
      </w:r>
      <w:r>
        <w:rPr>
          <w:rFonts w:hint="default"/>
          <w:b/>
          <w:color w:val="000000"/>
          <w:szCs w:val="28"/>
          <w:lang w:val="ru-RU"/>
        </w:rPr>
        <w:t xml:space="preserve">                      </w:t>
      </w:r>
      <w:r>
        <w:rPr>
          <w:b/>
          <w:color w:val="000000"/>
          <w:szCs w:val="28"/>
        </w:rPr>
        <w:t xml:space="preserve">       №</w:t>
      </w:r>
      <w:r>
        <w:rPr>
          <w:rFonts w:hint="default"/>
          <w:b/>
          <w:color w:val="000000"/>
          <w:szCs w:val="28"/>
          <w:lang w:val="ru-RU"/>
        </w:rPr>
        <w:t xml:space="preserve"> 501</w:t>
      </w:r>
    </w:p>
    <w:p w14:paraId="12DCDA5F">
      <w:pPr>
        <w:contextualSpacing/>
        <w:rPr>
          <w:b/>
          <w:color w:val="000000"/>
          <w:szCs w:val="28"/>
        </w:rPr>
      </w:pPr>
    </w:p>
    <w:p w14:paraId="517FF73A">
      <w:pPr>
        <w:contextualSpacing/>
        <w:rPr>
          <w:b/>
          <w:color w:val="000000"/>
          <w:szCs w:val="28"/>
        </w:rPr>
      </w:pPr>
    </w:p>
    <w:p w14:paraId="581D018F">
      <w:pPr>
        <w:ind w:left="0"/>
        <w:contextualSpacing/>
        <w:jc w:val="center"/>
        <w:rPr>
          <w:b/>
          <w:color w:val="000000"/>
          <w:szCs w:val="28"/>
        </w:rPr>
      </w:pPr>
      <w:r>
        <w:rPr>
          <w:b/>
          <w:color w:val="000000"/>
          <w:szCs w:val="28"/>
        </w:rPr>
        <w:t>Об утверждении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Большеболдинского муниципального округа Нижегородской области</w:t>
      </w:r>
    </w:p>
    <w:p w14:paraId="4685255C">
      <w:pPr>
        <w:contextualSpacing/>
        <w:jc w:val="center"/>
        <w:rPr>
          <w:color w:val="000000"/>
          <w:szCs w:val="28"/>
        </w:rPr>
      </w:pPr>
    </w:p>
    <w:p w14:paraId="10CE81AA">
      <w:pPr>
        <w:spacing w:line="360" w:lineRule="auto"/>
        <w:contextualSpacing/>
        <w:rPr>
          <w:color w:val="000000"/>
          <w:szCs w:val="28"/>
        </w:rPr>
      </w:pPr>
      <w:r>
        <w:rPr>
          <w:color w:val="000000"/>
          <w:szCs w:val="28"/>
        </w:rPr>
        <w:t xml:space="preserve">В соответствии </w:t>
      </w:r>
      <w:r>
        <w:rPr>
          <w:color w:val="000000"/>
          <w:szCs w:val="28"/>
          <w:lang w:val="ru-RU"/>
        </w:rPr>
        <w:t>с</w:t>
      </w:r>
      <w:r>
        <w:rPr>
          <w:rFonts w:hint="default"/>
          <w:color w:val="000000"/>
          <w:szCs w:val="28"/>
          <w:lang w:val="ru-RU"/>
        </w:rPr>
        <w:t xml:space="preserve"> Федеральным законом от 22.03.2025 г. №33-ФЗ «Об общих принципах организации местного самоуправления в единой системе публичной власти», </w:t>
      </w:r>
      <w:r>
        <w:rPr>
          <w:color w:val="000000"/>
          <w:szCs w:val="28"/>
        </w:rPr>
        <w:t>со ст</w:t>
      </w:r>
      <w:r>
        <w:rPr>
          <w:rFonts w:hint="default"/>
          <w:color w:val="000000"/>
          <w:szCs w:val="28"/>
          <w:lang w:val="ru-RU"/>
        </w:rPr>
        <w:t>.</w:t>
      </w:r>
      <w:r>
        <w:rPr>
          <w:color w:val="000000"/>
          <w:szCs w:val="28"/>
        </w:rPr>
        <w:t xml:space="preserve"> 5 Федерального закона от 20.03.2025 г. № 35-ФЗ «О внесении изменений в отдельные законодательные акты Российской Федерации», Постановлением Правительствв Российской Федерации от 02.02.2026 г. № 82 «Об утверждении Правил отчуждения древесины, находящейся в федеральной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федеральной собственности»</w:t>
      </w:r>
      <w:r>
        <w:rPr>
          <w:rFonts w:hint="default"/>
          <w:color w:val="000000"/>
          <w:szCs w:val="28"/>
          <w:lang w:val="ru-RU"/>
        </w:rPr>
        <w:t xml:space="preserve">, Уставом Большеболдинского муниципального округа Нижегородской области, </w:t>
      </w:r>
      <w:r>
        <w:rPr>
          <w:color w:val="000000"/>
          <w:szCs w:val="28"/>
        </w:rPr>
        <w:t>администрация Большеболдинского муниципального округа Нижегородской области постановляет:</w:t>
      </w:r>
    </w:p>
    <w:p w14:paraId="1F756AD6">
      <w:pPr>
        <w:spacing w:line="360" w:lineRule="auto"/>
        <w:contextualSpacing/>
        <w:rPr>
          <w:color w:val="000000"/>
          <w:szCs w:val="28"/>
        </w:rPr>
      </w:pPr>
      <w:r>
        <w:rPr>
          <w:color w:val="000000"/>
          <w:szCs w:val="28"/>
        </w:rPr>
        <w:t>1.</w:t>
      </w:r>
      <w:r>
        <w:rPr>
          <w:rFonts w:hint="default"/>
          <w:color w:val="000000"/>
          <w:szCs w:val="28"/>
          <w:lang w:val="ru-RU"/>
        </w:rPr>
        <w:t xml:space="preserve"> </w:t>
      </w:r>
      <w:r>
        <w:rPr>
          <w:color w:val="000000"/>
          <w:szCs w:val="28"/>
        </w:rPr>
        <w:t xml:space="preserve">Утвердить прилагаемый </w:t>
      </w:r>
      <w:r>
        <w:rPr>
          <w:color w:val="000000"/>
          <w:szCs w:val="28"/>
          <w:lang w:val="ru-RU"/>
        </w:rPr>
        <w:t>Порядок</w:t>
      </w:r>
      <w:r>
        <w:rPr>
          <w:rFonts w:hint="default"/>
          <w:color w:val="000000"/>
          <w:szCs w:val="28"/>
          <w:lang w:val="ru-RU"/>
        </w:rPr>
        <w:t xml:space="preserve"> </w:t>
      </w:r>
      <w:r>
        <w:rPr>
          <w:color w:val="000000"/>
          <w:szCs w:val="28"/>
        </w:rPr>
        <w:t>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Большеболдинского муниципального округа Нижегородской области.</w:t>
      </w:r>
    </w:p>
    <w:p w14:paraId="22A4B345">
      <w:pPr>
        <w:spacing w:line="360" w:lineRule="auto"/>
        <w:contextualSpacing/>
        <w:rPr>
          <w:color w:val="000000"/>
          <w:szCs w:val="28"/>
        </w:rPr>
      </w:pPr>
      <w:r>
        <w:rPr>
          <w:color w:val="000000"/>
          <w:szCs w:val="28"/>
        </w:rPr>
        <w:t>2.</w:t>
      </w:r>
      <w:r>
        <w:t xml:space="preserve"> </w:t>
      </w:r>
      <w:r>
        <w:rPr>
          <w:color w:val="000000"/>
          <w:szCs w:val="28"/>
        </w:rPr>
        <w:t>Управлению делами администрации Большеболдинского муниципального округа Нижегородской области (А.А.Макеева) обеспечить опубликование настоящего постановления в информационном бюллетене «Большеболдинский вестник», размещение на официальном сайте администрации Большеболдинского муниципального округа в информационно-телекоммуникационной сети «Интернет».</w:t>
      </w:r>
    </w:p>
    <w:p w14:paraId="3F11D42B">
      <w:pPr>
        <w:spacing w:line="360" w:lineRule="auto"/>
        <w:contextualSpacing/>
        <w:rPr>
          <w:color w:val="000000"/>
          <w:szCs w:val="28"/>
        </w:rPr>
      </w:pPr>
      <w:r>
        <w:rPr>
          <w:color w:val="000000"/>
          <w:szCs w:val="28"/>
        </w:rPr>
        <w:t>3.</w:t>
      </w:r>
      <w:r>
        <w:t xml:space="preserve"> </w:t>
      </w:r>
      <w:r>
        <w:rPr>
          <w:color w:val="000000"/>
          <w:szCs w:val="28"/>
        </w:rPr>
        <w:t>Настоящее постановление вступает в силу после его официального опубликования.</w:t>
      </w:r>
    </w:p>
    <w:p w14:paraId="13A444C4">
      <w:pPr>
        <w:spacing w:line="360" w:lineRule="auto"/>
        <w:contextualSpacing/>
        <w:rPr>
          <w:rFonts w:hint="default"/>
          <w:color w:val="000000"/>
          <w:szCs w:val="28"/>
          <w:lang w:val="ru-RU"/>
        </w:rPr>
      </w:pPr>
      <w:r>
        <w:rPr>
          <w:color w:val="000000"/>
          <w:szCs w:val="28"/>
        </w:rPr>
        <w:t xml:space="preserve">4. Контроль за исполнением настоящего постановления возложить на заместителя главы администрации Большеболдинского мунципального округа, </w:t>
      </w:r>
      <w:r>
        <w:rPr>
          <w:color w:val="000000"/>
          <w:szCs w:val="28"/>
          <w:lang w:val="ru-RU"/>
        </w:rPr>
        <w:t>п</w:t>
      </w:r>
      <w:r>
        <w:rPr>
          <w:color w:val="000000"/>
          <w:szCs w:val="28"/>
        </w:rPr>
        <w:t xml:space="preserve">редседателя комитета по управлению муниципальным имуществом </w:t>
      </w:r>
      <w:r>
        <w:rPr>
          <w:color w:val="000000"/>
          <w:szCs w:val="28"/>
          <w:lang w:val="ru-RU"/>
        </w:rPr>
        <w:t>И</w:t>
      </w:r>
      <w:r>
        <w:rPr>
          <w:rFonts w:hint="default"/>
          <w:color w:val="000000"/>
          <w:szCs w:val="28"/>
          <w:lang w:val="ru-RU"/>
        </w:rPr>
        <w:t xml:space="preserve">.Н. </w:t>
      </w:r>
      <w:r>
        <w:rPr>
          <w:color w:val="000000"/>
          <w:szCs w:val="28"/>
        </w:rPr>
        <w:t>Мухреева</w:t>
      </w:r>
      <w:r>
        <w:rPr>
          <w:rFonts w:hint="default"/>
          <w:color w:val="000000"/>
          <w:szCs w:val="28"/>
          <w:lang w:val="ru-RU"/>
        </w:rPr>
        <w:t>.</w:t>
      </w:r>
    </w:p>
    <w:p w14:paraId="3A3599D4">
      <w:pPr>
        <w:contextualSpacing/>
        <w:rPr>
          <w:color w:val="000000"/>
          <w:szCs w:val="28"/>
        </w:rPr>
      </w:pPr>
    </w:p>
    <w:p w14:paraId="4D020582">
      <w:pPr>
        <w:contextualSpacing/>
        <w:rPr>
          <w:color w:val="000000"/>
          <w:szCs w:val="28"/>
        </w:rPr>
      </w:pPr>
    </w:p>
    <w:p w14:paraId="06F36E8F">
      <w:pPr>
        <w:ind w:left="0" w:firstLine="140" w:firstLineChars="50"/>
        <w:contextualSpacing/>
        <w:rPr>
          <w:color w:val="000000"/>
          <w:szCs w:val="28"/>
        </w:rPr>
      </w:pPr>
      <w:r>
        <w:rPr>
          <w:color w:val="000000"/>
          <w:szCs w:val="28"/>
        </w:rPr>
        <w:t>Глава местного самоуправления</w:t>
      </w:r>
      <w:r>
        <w:rPr>
          <w:color w:val="000000"/>
          <w:szCs w:val="28"/>
        </w:rPr>
        <w:tab/>
      </w:r>
      <w:r>
        <w:rPr>
          <w:color w:val="000000"/>
          <w:szCs w:val="28"/>
        </w:rPr>
        <w:tab/>
      </w:r>
      <w:r>
        <w:rPr>
          <w:color w:val="000000"/>
          <w:szCs w:val="28"/>
        </w:rPr>
        <w:tab/>
      </w:r>
      <w:r>
        <w:rPr>
          <w:color w:val="000000"/>
          <w:szCs w:val="28"/>
        </w:rPr>
        <w:t xml:space="preserve">                         А.А. Морозова</w:t>
      </w:r>
    </w:p>
    <w:p w14:paraId="44050CF4">
      <w:pPr>
        <w:pStyle w:val="7"/>
        <w:contextualSpacing/>
      </w:pPr>
    </w:p>
    <w:p w14:paraId="7D624B22">
      <w:pPr>
        <w:pStyle w:val="7"/>
        <w:contextualSpacing/>
      </w:pPr>
    </w:p>
    <w:p w14:paraId="320DB53A">
      <w:pPr>
        <w:pStyle w:val="7"/>
        <w:contextualSpacing/>
      </w:pPr>
    </w:p>
    <w:p w14:paraId="15E6ECAD">
      <w:pPr>
        <w:pStyle w:val="7"/>
        <w:ind w:left="0" w:firstLine="0"/>
        <w:contextualSpacing/>
      </w:pPr>
    </w:p>
    <w:p w14:paraId="047002F8">
      <w:pPr>
        <w:pStyle w:val="7"/>
        <w:ind w:left="0" w:firstLine="0"/>
        <w:contextualSpacing/>
      </w:pPr>
    </w:p>
    <w:p w14:paraId="38A76AE4">
      <w:pPr>
        <w:pStyle w:val="7"/>
        <w:ind w:left="0" w:firstLine="0"/>
        <w:contextualSpacing/>
      </w:pPr>
    </w:p>
    <w:p w14:paraId="32A87444">
      <w:pPr>
        <w:pStyle w:val="7"/>
        <w:ind w:left="0" w:firstLine="0"/>
        <w:contextualSpacing/>
      </w:pPr>
    </w:p>
    <w:p w14:paraId="7F1437A3">
      <w:pPr>
        <w:pStyle w:val="7"/>
        <w:contextualSpacing/>
      </w:pPr>
    </w:p>
    <w:p w14:paraId="444BF99C">
      <w:pPr>
        <w:pStyle w:val="7"/>
        <w:contextualSpacing/>
      </w:pPr>
    </w:p>
    <w:p w14:paraId="605EA29E">
      <w:pPr>
        <w:pStyle w:val="7"/>
        <w:contextualSpacing/>
      </w:pPr>
    </w:p>
    <w:p w14:paraId="357F3D6D">
      <w:pPr>
        <w:pStyle w:val="7"/>
        <w:contextualSpacing/>
      </w:pPr>
    </w:p>
    <w:p w14:paraId="25A42FEB">
      <w:pPr>
        <w:pStyle w:val="7"/>
        <w:contextualSpacing/>
      </w:pPr>
    </w:p>
    <w:p w14:paraId="19447C6F">
      <w:pPr>
        <w:pStyle w:val="7"/>
        <w:contextualSpacing/>
      </w:pPr>
    </w:p>
    <w:p w14:paraId="3A8D224B">
      <w:pPr>
        <w:pStyle w:val="7"/>
        <w:contextualSpacing/>
      </w:pPr>
    </w:p>
    <w:p w14:paraId="263E05DC">
      <w:pPr>
        <w:pStyle w:val="7"/>
        <w:contextualSpacing/>
      </w:pPr>
    </w:p>
    <w:p w14:paraId="6CE0F314">
      <w:pPr>
        <w:pStyle w:val="7"/>
        <w:contextualSpacing/>
      </w:pPr>
    </w:p>
    <w:p w14:paraId="2729CC53">
      <w:pPr>
        <w:pStyle w:val="7"/>
        <w:contextualSpacing/>
      </w:pPr>
    </w:p>
    <w:p w14:paraId="3FEC8BCD">
      <w:pPr>
        <w:pStyle w:val="7"/>
        <w:contextualSpacing/>
      </w:pPr>
    </w:p>
    <w:p w14:paraId="047018C5">
      <w:pPr>
        <w:pStyle w:val="7"/>
        <w:contextualSpacing/>
      </w:pPr>
    </w:p>
    <w:p w14:paraId="5D24E17F">
      <w:pPr>
        <w:pStyle w:val="7"/>
        <w:contextualSpacing/>
      </w:pPr>
    </w:p>
    <w:p w14:paraId="6EAF1139">
      <w:pPr>
        <w:pStyle w:val="7"/>
        <w:contextualSpacing/>
      </w:pPr>
    </w:p>
    <w:p w14:paraId="4521A577">
      <w:pPr>
        <w:pStyle w:val="7"/>
        <w:contextualSpacing/>
      </w:pPr>
    </w:p>
    <w:p w14:paraId="460AC490">
      <w:pPr>
        <w:pStyle w:val="7"/>
        <w:contextualSpacing/>
      </w:pPr>
    </w:p>
    <w:p w14:paraId="58D53579">
      <w:pPr>
        <w:pStyle w:val="7"/>
        <w:contextualSpacing/>
      </w:pPr>
    </w:p>
    <w:p w14:paraId="4EB34B01">
      <w:pPr>
        <w:pStyle w:val="7"/>
        <w:contextualSpacing/>
      </w:pPr>
    </w:p>
    <w:p w14:paraId="00CABC41">
      <w:pPr>
        <w:pStyle w:val="7"/>
        <w:contextualSpacing/>
      </w:pPr>
    </w:p>
    <w:p w14:paraId="15080ABB">
      <w:pPr>
        <w:pStyle w:val="7"/>
        <w:contextualSpacing/>
      </w:pPr>
    </w:p>
    <w:p w14:paraId="0072E144">
      <w:pPr>
        <w:pStyle w:val="7"/>
        <w:contextualSpacing/>
      </w:pPr>
    </w:p>
    <w:p w14:paraId="3451C9C7">
      <w:pPr>
        <w:pStyle w:val="7"/>
        <w:contextualSpacing/>
      </w:pPr>
    </w:p>
    <w:p w14:paraId="0BB97F9A">
      <w:pPr>
        <w:pStyle w:val="7"/>
        <w:contextualSpacing/>
      </w:pPr>
    </w:p>
    <w:p w14:paraId="73C25BA9">
      <w:pPr>
        <w:pStyle w:val="7"/>
        <w:contextualSpacing/>
      </w:pPr>
    </w:p>
    <w:p w14:paraId="614EAD5B">
      <w:pPr>
        <w:pStyle w:val="7"/>
        <w:contextualSpacing/>
      </w:pPr>
    </w:p>
    <w:p w14:paraId="42BFD3D8">
      <w:pPr>
        <w:pStyle w:val="7"/>
        <w:contextualSpacing/>
      </w:pPr>
    </w:p>
    <w:p w14:paraId="6509CC52">
      <w:pPr>
        <w:pStyle w:val="9"/>
        <w:contextualSpacing/>
        <w:jc w:val="right"/>
        <w:rPr>
          <w:rFonts w:hint="default" w:ascii="Times New Roman" w:hAnsi="Times New Roman" w:cs="Times New Roman"/>
          <w:b w:val="0"/>
          <w:sz w:val="24"/>
          <w:szCs w:val="24"/>
          <w:lang w:val="ru-RU"/>
        </w:rPr>
      </w:pPr>
      <w:r>
        <w:rPr>
          <w:rFonts w:ascii="Times New Roman" w:hAnsi="Times New Roman" w:cs="Times New Roman"/>
          <w:b w:val="0"/>
          <w:sz w:val="24"/>
          <w:szCs w:val="24"/>
          <w:lang w:val="ru-RU"/>
        </w:rPr>
        <w:t>ПРИЛОЖЕНИЕ</w:t>
      </w:r>
    </w:p>
    <w:p w14:paraId="3CDD99B5">
      <w:pPr>
        <w:pStyle w:val="9"/>
        <w:contextualSpacing/>
        <w:jc w:val="right"/>
        <w:rPr>
          <w:rFonts w:ascii="Times New Roman" w:hAnsi="Times New Roman" w:cs="Times New Roman"/>
          <w:b w:val="0"/>
          <w:sz w:val="24"/>
          <w:szCs w:val="24"/>
        </w:rPr>
      </w:pPr>
      <w:r>
        <w:rPr>
          <w:rFonts w:ascii="Times New Roman" w:hAnsi="Times New Roman" w:cs="Times New Roman"/>
          <w:b w:val="0"/>
          <w:sz w:val="24"/>
          <w:szCs w:val="24"/>
        </w:rPr>
        <w:t>к постановлению</w:t>
      </w:r>
      <w:r>
        <w:t xml:space="preserve"> </w:t>
      </w:r>
      <w:r>
        <w:rPr>
          <w:rFonts w:ascii="Times New Roman" w:hAnsi="Times New Roman" w:cs="Times New Roman"/>
          <w:b w:val="0"/>
          <w:sz w:val="24"/>
          <w:szCs w:val="24"/>
        </w:rPr>
        <w:t>администрации</w:t>
      </w:r>
    </w:p>
    <w:p w14:paraId="55AA8FB8">
      <w:pPr>
        <w:pStyle w:val="9"/>
        <w:contextualSpacing/>
        <w:jc w:val="right"/>
        <w:rPr>
          <w:rFonts w:ascii="Times New Roman" w:hAnsi="Times New Roman" w:cs="Times New Roman"/>
          <w:b w:val="0"/>
          <w:sz w:val="24"/>
          <w:szCs w:val="24"/>
        </w:rPr>
      </w:pPr>
      <w:r>
        <w:rPr>
          <w:rFonts w:ascii="Times New Roman" w:hAnsi="Times New Roman" w:cs="Times New Roman"/>
          <w:b w:val="0"/>
          <w:sz w:val="24"/>
          <w:szCs w:val="24"/>
        </w:rPr>
        <w:t xml:space="preserve">Большеболдинского муниципального округа </w:t>
      </w:r>
    </w:p>
    <w:p w14:paraId="317666A9">
      <w:pPr>
        <w:pStyle w:val="9"/>
        <w:contextualSpacing/>
        <w:jc w:val="right"/>
        <w:rPr>
          <w:rFonts w:ascii="Times New Roman" w:hAnsi="Times New Roman" w:cs="Times New Roman"/>
          <w:b w:val="0"/>
          <w:sz w:val="24"/>
          <w:szCs w:val="24"/>
        </w:rPr>
      </w:pPr>
      <w:r>
        <w:rPr>
          <w:rFonts w:ascii="Times New Roman" w:hAnsi="Times New Roman" w:cs="Times New Roman"/>
          <w:b w:val="0"/>
          <w:sz w:val="24"/>
          <w:szCs w:val="24"/>
        </w:rPr>
        <w:t>Нижегородской области</w:t>
      </w:r>
    </w:p>
    <w:p w14:paraId="46001A0F">
      <w:pPr>
        <w:pStyle w:val="9"/>
        <w:wordWrap w:val="0"/>
        <w:contextualSpacing/>
        <w:jc w:val="right"/>
        <w:rPr>
          <w:rFonts w:hint="default" w:ascii="Times New Roman" w:hAnsi="Times New Roman" w:cs="Times New Roman"/>
          <w:b w:val="0"/>
          <w:sz w:val="24"/>
          <w:szCs w:val="24"/>
          <w:lang w:val="ru-RU"/>
        </w:rPr>
      </w:pPr>
      <w:r>
        <w:rPr>
          <w:rFonts w:ascii="Times New Roman" w:hAnsi="Times New Roman" w:cs="Times New Roman"/>
          <w:b w:val="0"/>
          <w:sz w:val="24"/>
          <w:szCs w:val="24"/>
        </w:rPr>
        <w:t xml:space="preserve"> </w:t>
      </w:r>
      <w:r>
        <w:rPr>
          <w:rFonts w:ascii="Times New Roman" w:hAnsi="Times New Roman" w:cs="Times New Roman"/>
          <w:b w:val="0"/>
          <w:sz w:val="24"/>
          <w:szCs w:val="24"/>
          <w:lang w:val="ru-RU"/>
        </w:rPr>
        <w:t>о</w:t>
      </w:r>
      <w:r>
        <w:rPr>
          <w:rFonts w:ascii="Times New Roman" w:hAnsi="Times New Roman" w:cs="Times New Roman"/>
          <w:b w:val="0"/>
          <w:sz w:val="24"/>
          <w:szCs w:val="24"/>
        </w:rPr>
        <w:t>т</w:t>
      </w:r>
      <w:r>
        <w:rPr>
          <w:rFonts w:hint="default" w:ascii="Times New Roman" w:hAnsi="Times New Roman" w:cs="Times New Roman"/>
          <w:b w:val="0"/>
          <w:sz w:val="24"/>
          <w:szCs w:val="24"/>
          <w:lang w:val="ru-RU"/>
        </w:rPr>
        <w:t xml:space="preserve"> 06.08.2026     </w:t>
      </w:r>
      <w:r>
        <w:rPr>
          <w:rFonts w:ascii="Times New Roman" w:hAnsi="Times New Roman" w:cs="Times New Roman"/>
          <w:b w:val="0"/>
          <w:sz w:val="24"/>
          <w:szCs w:val="24"/>
        </w:rPr>
        <w:t>№</w:t>
      </w:r>
      <w:r>
        <w:rPr>
          <w:rFonts w:hint="default" w:ascii="Times New Roman" w:hAnsi="Times New Roman" w:cs="Times New Roman"/>
          <w:b w:val="0"/>
          <w:sz w:val="24"/>
          <w:szCs w:val="24"/>
          <w:lang w:val="ru-RU"/>
        </w:rPr>
        <w:t xml:space="preserve"> 501  </w:t>
      </w:r>
      <w:bookmarkStart w:id="0" w:name="_GoBack"/>
      <w:bookmarkEnd w:id="0"/>
    </w:p>
    <w:p w14:paraId="3A7BB7DD">
      <w:pPr>
        <w:pStyle w:val="9"/>
        <w:contextualSpacing/>
        <w:jc w:val="right"/>
        <w:rPr>
          <w:rFonts w:ascii="Times New Roman" w:hAnsi="Times New Roman" w:cs="Times New Roman"/>
          <w:b w:val="0"/>
          <w:sz w:val="24"/>
          <w:szCs w:val="24"/>
        </w:rPr>
      </w:pPr>
    </w:p>
    <w:p w14:paraId="05EABB90">
      <w:pPr>
        <w:pStyle w:val="9"/>
        <w:spacing w:before="0"/>
        <w:contextualSpacing/>
        <w:rPr>
          <w:rFonts w:ascii="Times New Roman" w:hAnsi="Times New Roman" w:cs="Times New Roman"/>
          <w:b w:val="0"/>
          <w:sz w:val="24"/>
          <w:szCs w:val="24"/>
        </w:rPr>
      </w:pPr>
    </w:p>
    <w:p w14:paraId="2E4D4B39">
      <w:pPr>
        <w:spacing w:before="0"/>
        <w:ind w:right="728"/>
        <w:contextualSpacing/>
        <w:jc w:val="center"/>
        <w:rPr>
          <w:b/>
        </w:rPr>
      </w:pPr>
      <w:r>
        <w:rPr>
          <w:b/>
          <w:spacing w:val="-2"/>
        </w:rPr>
        <w:t>ПОРЯДОК</w:t>
      </w:r>
    </w:p>
    <w:p w14:paraId="220E5FEF">
      <w:pPr>
        <w:spacing w:before="0"/>
        <w:ind w:left="0" w:right="-1"/>
        <w:contextualSpacing/>
        <w:jc w:val="center"/>
        <w:rPr>
          <w:b/>
        </w:rPr>
      </w:pPr>
      <w:r>
        <w:rPr>
          <w:b/>
        </w:rPr>
        <w:t>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Большеболдинского муниципального округа Нижегородской области</w:t>
      </w:r>
    </w:p>
    <w:p w14:paraId="693FC130">
      <w:pPr>
        <w:spacing w:before="0"/>
        <w:ind w:left="0" w:right="-1"/>
        <w:contextualSpacing/>
        <w:jc w:val="center"/>
        <w:rPr>
          <w:b/>
        </w:rPr>
      </w:pPr>
    </w:p>
    <w:p w14:paraId="1C72DAA6">
      <w:pPr>
        <w:pStyle w:val="11"/>
        <w:widowControl w:val="0"/>
        <w:tabs>
          <w:tab w:val="left" w:pos="4208"/>
        </w:tabs>
        <w:autoSpaceDE w:val="0"/>
        <w:autoSpaceDN w:val="0"/>
        <w:spacing w:before="0"/>
        <w:ind w:left="142"/>
        <w:jc w:val="center"/>
        <w:rPr>
          <w:b/>
        </w:rPr>
      </w:pPr>
    </w:p>
    <w:p w14:paraId="4D36271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left="-90" w:leftChars="0"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1. Настоящий Порядок разработан в соответствии статьей 5 Федерального Закона от 20.03.2025 года №35-ФЗ «О внесении изменений в отдельные законодательные акты Российской Федерации», статьей 32 Федерального Закона от 20.03.2025 года 33-ФЗ «Об общих принципах организации местного самоуправления в единой системе публичной власти», Уставом Большеболдинского муниципального округа Нижегородской области.</w:t>
      </w:r>
    </w:p>
    <w:p w14:paraId="313B9B9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left="-90" w:leftChars="0"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2. Настоящий порядок не применяется при отчуждении древесины, полученной на земельных участках, которые предоставлены на праве постоянного (бессрочного) пользования, а также древесины, в отношении которой федеральными законами и (или) актами Правительства Российской Федерации, законодательством Нижегородской области установлен особый порядок распоряжения и (или) отчуждения.</w:t>
      </w:r>
    </w:p>
    <w:p w14:paraId="0758F889">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left="-90" w:leftChars="0"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 xml:space="preserve">3. </w:t>
      </w:r>
      <w:r>
        <w:rPr>
          <w:rFonts w:ascii="Times New Roman" w:hAnsi="Times New Roman" w:eastAsia="Times New Roman" w:cs="Times New Roman"/>
          <w:color w:val="auto"/>
          <w:sz w:val="26"/>
          <w:szCs w:val="26"/>
          <w:lang w:eastAsia="ru-RU"/>
        </w:rPr>
        <w:t xml:space="preserve">Настоящий Порядок устанавливает процедуру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Pr>
          <w:rFonts w:cs="Times New Roman"/>
          <w:color w:val="auto"/>
          <w:sz w:val="26"/>
          <w:szCs w:val="26"/>
          <w:lang w:eastAsia="ru-RU"/>
        </w:rPr>
        <w:t>Большеболдинского</w:t>
      </w:r>
      <w:r>
        <w:rPr>
          <w:rFonts w:ascii="Times New Roman" w:hAnsi="Times New Roman" w:eastAsia="Times New Roman" w:cs="Times New Roman"/>
          <w:color w:val="auto"/>
          <w:sz w:val="26"/>
          <w:szCs w:val="26"/>
          <w:lang w:eastAsia="ru-RU"/>
        </w:rPr>
        <w:t xml:space="preserve"> муниципального округа </w:t>
      </w:r>
      <w:r>
        <w:rPr>
          <w:rFonts w:cs="Times New Roman"/>
          <w:color w:val="auto"/>
          <w:sz w:val="26"/>
          <w:szCs w:val="26"/>
          <w:lang w:eastAsia="ru-RU"/>
        </w:rPr>
        <w:t>Нижегородской</w:t>
      </w:r>
      <w:r>
        <w:rPr>
          <w:rFonts w:hint="default" w:cs="Times New Roman"/>
          <w:color w:val="auto"/>
          <w:sz w:val="26"/>
          <w:szCs w:val="26"/>
          <w:lang w:val="en-US" w:eastAsia="ru-RU"/>
        </w:rPr>
        <w:t xml:space="preserve"> области </w:t>
      </w:r>
      <w:r>
        <w:rPr>
          <w:rFonts w:ascii="Times New Roman" w:hAnsi="Times New Roman" w:eastAsia="Times New Roman" w:cs="Times New Roman"/>
          <w:color w:val="auto"/>
          <w:sz w:val="26"/>
          <w:szCs w:val="26"/>
          <w:lang w:eastAsia="ru-RU"/>
        </w:rPr>
        <w:t xml:space="preserve">(далее — </w:t>
      </w:r>
      <w:r>
        <w:rPr>
          <w:rFonts w:cs="Times New Roman"/>
          <w:color w:val="auto"/>
          <w:sz w:val="26"/>
          <w:szCs w:val="26"/>
          <w:lang w:eastAsia="ru-RU"/>
        </w:rPr>
        <w:t>Порядок</w:t>
      </w:r>
      <w:r>
        <w:rPr>
          <w:rFonts w:ascii="Times New Roman" w:hAnsi="Times New Roman" w:eastAsia="Times New Roman" w:cs="Times New Roman"/>
          <w:color w:val="auto"/>
          <w:sz w:val="26"/>
          <w:szCs w:val="26"/>
          <w:lang w:eastAsia="ru-RU"/>
        </w:rPr>
        <w:t>), путем ее реализации на торгах и без проведения торгов.</w:t>
      </w:r>
      <w:r>
        <w:rPr>
          <w:rFonts w:hint="default" w:cs="Times New Roman"/>
          <w:color w:val="auto"/>
          <w:sz w:val="26"/>
          <w:szCs w:val="26"/>
          <w:lang w:val="en-US" w:eastAsia="ru-RU"/>
        </w:rPr>
        <w:t xml:space="preserve"> </w:t>
      </w:r>
    </w:p>
    <w:p w14:paraId="2446A23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left="0" w:leftChars="0" w:right="130" w:rightChars="0" w:firstLine="559" w:firstLineChars="215"/>
        <w:jc w:val="both"/>
        <w:textAlignment w:val="baseline"/>
        <w:rPr>
          <w:rFonts w:ascii="Times New Roman" w:hAnsi="Times New Roman" w:eastAsia="Times New Roman" w:cs="Times New Roman"/>
          <w:color w:val="auto"/>
          <w:sz w:val="26"/>
          <w:szCs w:val="26"/>
          <w:lang w:eastAsia="ru-RU"/>
        </w:rPr>
      </w:pPr>
      <w:r>
        <w:rPr>
          <w:rFonts w:hint="default" w:cs="Times New Roman"/>
          <w:color w:val="auto"/>
          <w:sz w:val="26"/>
          <w:szCs w:val="26"/>
          <w:lang w:val="en-US" w:eastAsia="ru-RU"/>
        </w:rPr>
        <w:t xml:space="preserve">4. </w:t>
      </w:r>
      <w:r>
        <w:rPr>
          <w:rFonts w:ascii="Times New Roman" w:hAnsi="Times New Roman" w:eastAsia="Times New Roman" w:cs="Times New Roman"/>
          <w:color w:val="auto"/>
          <w:sz w:val="26"/>
          <w:szCs w:val="26"/>
          <w:lang w:eastAsia="ru-RU"/>
        </w:rPr>
        <w:t>Настоящий Порядок не распространяется на древесину, которая получена в результате использования лесов и осуществления мероприятий по сохранению лесов, порядок отчуждения которой урегулирован в соответствии с лесным законодательством.</w:t>
      </w:r>
    </w:p>
    <w:p w14:paraId="4603948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left="0" w:leftChars="0" w:right="130" w:rightChars="0" w:firstLine="559" w:firstLineChars="215"/>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5. Продавцом древесины при ее реализации выступает администрация Большеболдинского муниципального округа Нижегородской области (далее - продавец), которая в целях организации продажи древесины на торгах вправе привлекать юридические лица, а также физических лиц, зарегистрированных в качестве индивидуальных предпринимателей,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B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Функции по определению начальной цены продажи древесины на аукционе на право заключения договора купли-продажи древесины (далее - аукцион), величины повышения начальной цены продажи древесины на аукционе, размера задатка, условий аукционов и их изменений, существенных условий договора купли-продажи древесины (далее - договор купли-продажи), а также по заключению договора купли-продажи осуществляются исключительно продавцом.</w:t>
      </w:r>
    </w:p>
    <w:p w14:paraId="2C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6. Права и обязанности юридических лиц и физических лиц, зарегистрированных в качестве индивидуальных предпринимателей, которые привлекаются для организации продажи древесины, определяются заключенными с ними муниципальными контрактами.</w:t>
      </w:r>
    </w:p>
    <w:p w14:paraId="7D8879C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7. Древесина, являющаяся предметом договора купли-продажи и включенная в перечень, определенный Правительством Российской Федерации в соответствии с частью 1 статьи 50.1 Лесного кодекса Российской Федерации, должна быть учтена в порядке, установленном Лесным кодексом Российской Федерации, в том числе при ее транспортировке, хранении, переработке, продаже и передаче.</w:t>
      </w:r>
    </w:p>
    <w:p w14:paraId="2E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8.  В случае получения продавцом от лица, использующего в соответствии с земельным законодательством земельный участок и получившего древесину в результате рубки деревьев, произрастающих на нем (далее - пользователь земельного участка), согласия на выкуп древесины без проведения торгов (далее - согласие на выкуп древесины) продавец в течение 5 рабочих дней со дня получения согласия на выкуп древесины направляет пользователю земельного участка 2 экземпляра подписанного проекта договора купли-продажи.</w:t>
      </w:r>
    </w:p>
    <w:p w14:paraId="2F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ascii="Times New Roman" w:hAnsi="Times New Roman" w:eastAsia="Times New Roman" w:cs="Times New Roman"/>
          <w:color w:val="auto"/>
          <w:sz w:val="26"/>
          <w:szCs w:val="26"/>
          <w:lang w:val="en-US" w:eastAsia="ru-RU"/>
        </w:rPr>
      </w:pPr>
      <w:r>
        <w:rPr>
          <w:rFonts w:hint="default" w:cs="Times New Roman"/>
          <w:color w:val="auto"/>
          <w:sz w:val="26"/>
          <w:szCs w:val="26"/>
          <w:lang w:val="en-US" w:eastAsia="ru-RU"/>
        </w:rPr>
        <w:t xml:space="preserve">9. Цена древесины определяется продавцом в размере 2-кратной стоимости, определенной исходя из объема древесины и ставок платы за единицу объема древесины, установленных для Нижегородского лесотаксового района </w:t>
      </w:r>
      <w:r>
        <w:rPr>
          <w:rFonts w:hint="default" w:ascii="Times New Roman" w:hAnsi="Times New Roman" w:eastAsia="Times New Roman" w:cs="Times New Roman"/>
          <w:color w:val="auto"/>
          <w:sz w:val="26"/>
          <w:szCs w:val="26"/>
          <w:lang w:val="en-US" w:eastAsia="ru-RU"/>
        </w:rPr>
        <w:t>в соответствии со ставками платы за единицу объема лесных ресурсов и ставками платы за единицу площади лесного участка (далее - ставки). При этом применяются ставки, установленные в отношении деловой средней древесины по первому разряду такс, без учета примечаний к ставкам.</w:t>
      </w:r>
    </w:p>
    <w:p w14:paraId="30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lang w:val="en-US" w:eastAsia="ru-RU"/>
        </w:rPr>
      </w:pPr>
      <w:r>
        <w:rPr>
          <w:rFonts w:hint="default" w:cs="Times New Roman"/>
          <w:color w:val="auto"/>
          <w:sz w:val="26"/>
          <w:szCs w:val="26"/>
          <w:lang w:val="en-US" w:eastAsia="ru-RU"/>
        </w:rPr>
        <w:t>10. Пользователь земельного участка в течение 10 рабочих дней со дня получения от продавца проекта договора купли-продажи направляет продавцу подписанный договор купли-продажи и производит полную оплату древесины по реквизитам, предусмотренным договором купли-продажи.</w:t>
      </w:r>
    </w:p>
    <w:p w14:paraId="31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lang w:val="en-US" w:eastAsia="ru-RU"/>
        </w:rPr>
        <w:t>11.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w:t>
      </w:r>
      <w:r>
        <w:rPr>
          <w:rFonts w:hint="default" w:cs="Times New Roman"/>
          <w:color w:val="auto"/>
          <w:sz w:val="26"/>
          <w:szCs w:val="26"/>
          <w:highlight w:val="none"/>
          <w:lang w:val="en-US" w:eastAsia="ru-RU"/>
        </w:rPr>
        <w:t xml:space="preserve"> пунктом 16 настоящего Порядка, </w:t>
      </w:r>
      <w:r>
        <w:rPr>
          <w:rFonts w:hint="default" w:cs="Times New Roman"/>
          <w:color w:val="auto"/>
          <w:sz w:val="26"/>
          <w:szCs w:val="26"/>
          <w:lang w:val="en-US" w:eastAsia="ru-RU"/>
        </w:rPr>
        <w:t xml:space="preserve">продавец осуществляет реализацию древесины путем проведения аукциона в электронной форме в соответствии с </w:t>
      </w:r>
      <w:r>
        <w:rPr>
          <w:rFonts w:hint="default" w:cs="Times New Roman"/>
          <w:color w:val="auto"/>
          <w:sz w:val="26"/>
          <w:szCs w:val="26"/>
          <w:highlight w:val="none"/>
          <w:lang w:val="en-US" w:eastAsia="ru-RU"/>
        </w:rPr>
        <w:t>пунктом 17 настоящего Порядка.</w:t>
      </w:r>
    </w:p>
    <w:p w14:paraId="32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12.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 подтверждающих право на осуществление рубки деревьев на земельном участке, и иных документов, определенных в соответствии с пунктом 13 настоящего Порядка.</w:t>
      </w:r>
    </w:p>
    <w:p w14:paraId="3427840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13. Формы согласия на выкуп древесины и отказа от выкупа древесины, в том числе состав включаемых в них сведений и перечень прилагаемых к ним документов, а также формы договора купли-продажи и заявки на участие в аукционе утверждаются администрацией Большеболдинского муниципального округа Нижегородской области.</w:t>
      </w:r>
    </w:p>
    <w:p w14:paraId="34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14.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w:t>
      </w:r>
    </w:p>
    <w:p w14:paraId="35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15. Взаимодействие продавца и пользователя земельного участка осуществляется посредством электронной почты,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w:t>
      </w:r>
    </w:p>
    <w:p w14:paraId="36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16. Реализация древесины пользователю земельного участка без проведения торгов не осуществляется в случае:</w:t>
      </w:r>
    </w:p>
    <w:p w14:paraId="37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а)  отсутствия пользователя земельного участка;</w:t>
      </w:r>
    </w:p>
    <w:p w14:paraId="38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б) непредставления пользователем земельного участка документов, подтверждающих право на осуществление рубки деревьев на земельном участке;</w:t>
      </w:r>
    </w:p>
    <w:p w14:paraId="39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в) несоответствия поступившего согласия на выкуп древесины и прилагаемых к нему документов требованиям пункта 13 настоящего Порядка;</w:t>
      </w:r>
    </w:p>
    <w:p w14:paraId="3A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г) непоступления продавцу от пользователя земельного участка подписанного договора купли-продажи и полной оплаты древесины по истечении 20 рабочих дней со дня направления продавцом проекта договора купли-продажи пользователю земельного участка.</w:t>
      </w:r>
    </w:p>
    <w:p w14:paraId="3B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17.  В случаях, указанных в пунктах 11 и 16 настоящего Порядка,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 установленных настоящим Порядком.</w:t>
      </w:r>
    </w:p>
    <w:p w14:paraId="3C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18. Начальная цена продажи древесины на аукционе определяется продавцом в порядке, предусмотренном пунктом 9 настоящего Порядка.</w:t>
      </w:r>
    </w:p>
    <w:p w14:paraId="411E948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19. В случае если по истечении срока, установленного информационным сообщением о проведении аукциона, после снижения начальной цены продажи древесины на 90 процентов аукцион признается несостоявшимся, продавец в течение 3 рабочих дней после подписания протокола о признании аукциона несостоявшимся направляет в Правительство Нижегородской области, предложение о безвозмездной передаче древесины в собственность Нижегородской области.</w:t>
      </w:r>
    </w:p>
    <w:p w14:paraId="3E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20. В случае отказа Правительства Нижегородской области от принятия древесины в собственность Нижегородской области, непоступления продавцу от Правительства Нижегородской области  по истечении 20 рабочих дней со дня направления продавцом предложения о безвозмездной передаче древесины в соответствии с пунктом 19 настоящего Порядка согласия на принятие древесины в собственность Нижегородской области или отказа от принятия древесины в собственность Нижегородской области, продавец в течение 3 рабочих дней направляет пользователю земельного участка предложение о приобретении древесины по последней сниженной начальной цене, по которой древесина предлагалась к реализации на аукционе (далее - последняя сниженная начальная цена), с приложением 2 экземпляров подписанного проекта договора купли-продажи.</w:t>
      </w:r>
    </w:p>
    <w:p w14:paraId="3F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21.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 предусмотренный пунктом 10 настоящего Порядка, направляет продавцу подписанный договор купли-продажи и производит полную оплату древесины по реквизитам, предусмотренным договором купли-продажи.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w:t>
      </w:r>
    </w:p>
    <w:p w14:paraId="40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22. При признании аукциона в соответствии с пунктом 19 настоящего Порядка несостоявшимся, отказе Правительства Нижегородской области от принятия древесины в собственность Нижегородской области, непоступлении продавцу от администрации Правительства Нижегородской области  согласия на принятие древесины в собственность Нижегородской области или отказа от принятия древесины в собственность Нижегородской области, отказе пользователя земельного участка от приобретения древесины по последней сниженной начальной цене или при непоступлении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w:t>
      </w:r>
    </w:p>
    <w:p w14:paraId="41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23. Передача древесины в собственность Нижегородской области или муниципальную собственность в соответствии с настоящим Порядком осуществляется на основании решения продавца.</w:t>
      </w:r>
    </w:p>
    <w:p w14:paraId="42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24. Договор купли-продажи должен содержать условия о возникновении у покупателя древесины права собственности на древесину после полной оплаты ее цены, моменте передачи древесины ее покупателю, а также условия и сроки вывоза покупателем древесины.</w:t>
      </w:r>
    </w:p>
    <w:p w14:paraId="430000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r>
        <w:rPr>
          <w:rFonts w:hint="default" w:cs="Times New Roman"/>
          <w:color w:val="auto"/>
          <w:sz w:val="26"/>
          <w:szCs w:val="26"/>
          <w:highlight w:val="none"/>
          <w:lang w:val="en-US" w:eastAsia="ru-RU"/>
        </w:rPr>
        <w:t>25. Древесина считается переданной продавцом и принятой покупателем древесины с момента ее полной оплаты по договору купли-продажи без оформления акта приема-передачи древесины.</w:t>
      </w:r>
    </w:p>
    <w:p w14:paraId="7D20818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p>
    <w:p w14:paraId="557C59B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p>
    <w:p w14:paraId="1CC2330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p>
    <w:p w14:paraId="2A442AF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p>
    <w:p w14:paraId="79E9D82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p>
    <w:p w14:paraId="3277BFE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none"/>
          <w:lang w:val="en-US" w:eastAsia="ru-RU"/>
        </w:rPr>
      </w:pPr>
    </w:p>
    <w:p w14:paraId="74510F3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cs="Times New Roman"/>
          <w:color w:val="auto"/>
          <w:sz w:val="26"/>
          <w:szCs w:val="26"/>
          <w:highlight w:val="yellow"/>
          <w:lang w:val="en-US" w:eastAsia="ru-RU"/>
        </w:rPr>
      </w:pPr>
    </w:p>
    <w:p w14:paraId="7F44C63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ascii="Times New Roman" w:hAnsi="Times New Roman" w:eastAsia="Times New Roman" w:cs="Times New Roman"/>
          <w:color w:val="auto"/>
          <w:sz w:val="26"/>
          <w:szCs w:val="26"/>
          <w:lang w:val="en-US" w:eastAsia="ru-RU"/>
        </w:rPr>
      </w:pPr>
    </w:p>
    <w:p w14:paraId="532BD66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hint="default" w:ascii="Times New Roman" w:hAnsi="Times New Roman" w:eastAsia="Times New Roman" w:cs="Times New Roman"/>
          <w:color w:val="auto"/>
          <w:sz w:val="26"/>
          <w:szCs w:val="26"/>
          <w:lang w:val="en-US" w:eastAsia="ru-RU"/>
        </w:rPr>
      </w:pPr>
    </w:p>
    <w:p w14:paraId="32FDDB4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line="240" w:lineRule="auto"/>
        <w:ind w:right="130" w:rightChars="0" w:firstLine="650" w:firstLineChars="250"/>
        <w:jc w:val="both"/>
        <w:textAlignment w:val="baseline"/>
        <w:rPr>
          <w:rFonts w:ascii="Times New Roman" w:hAnsi="Times New Roman" w:eastAsia="Times New Roman" w:cs="Times New Roman"/>
          <w:color w:val="auto"/>
          <w:sz w:val="26"/>
          <w:szCs w:val="26"/>
          <w:lang w:eastAsia="ru-RU"/>
        </w:rPr>
      </w:pPr>
    </w:p>
    <w:p w14:paraId="62A66892">
      <w:pPr>
        <w:pStyle w:val="9"/>
        <w:ind w:left="0" w:firstLine="0"/>
        <w:rPr>
          <w:rFonts w:ascii="Times New Roman" w:hAnsi="Times New Roman" w:cs="Times New Roman"/>
          <w:b w:val="0"/>
          <w:sz w:val="28"/>
          <w:szCs w:val="28"/>
        </w:rPr>
      </w:pPr>
    </w:p>
    <w:p w14:paraId="63BD41F1">
      <w:pPr>
        <w:keepNext w:val="0"/>
        <w:keepLines w:val="0"/>
        <w:widowControl/>
        <w:suppressLineNumbers w:val="0"/>
        <w:ind w:left="0" w:leftChars="0" w:firstLine="700" w:firstLineChars="250"/>
        <w:jc w:val="both"/>
        <w:rPr>
          <w:rFonts w:hint="default" w:ascii="Times New Roman" w:hAnsi="Times New Roman" w:eastAsia="Liberation Serif" w:cs="Times New Roman"/>
          <w:b w:val="0"/>
          <w:bCs w:val="0"/>
          <w:color w:val="000000"/>
          <w:kern w:val="0"/>
          <w:sz w:val="28"/>
          <w:szCs w:val="28"/>
          <w:lang w:val="en-US" w:eastAsia="ru-RU" w:bidi="ar"/>
        </w:rPr>
      </w:pPr>
    </w:p>
    <w:p w14:paraId="0544087A">
      <w:pPr>
        <w:keepNext w:val="0"/>
        <w:keepLines w:val="0"/>
        <w:widowControl/>
        <w:suppressLineNumbers w:val="0"/>
        <w:ind w:left="0" w:leftChars="0" w:firstLine="700" w:firstLineChars="250"/>
        <w:jc w:val="both"/>
        <w:rPr>
          <w:rFonts w:hint="default" w:ascii="Times New Roman" w:hAnsi="Times New Roman" w:eastAsia="Liberation Serif" w:cs="Times New Roman"/>
          <w:b w:val="0"/>
          <w:bCs w:val="0"/>
          <w:color w:val="000000"/>
          <w:kern w:val="0"/>
          <w:sz w:val="28"/>
          <w:szCs w:val="28"/>
          <w:lang w:val="en-US" w:eastAsia="ru-RU" w:bidi="ar"/>
        </w:rPr>
      </w:pPr>
    </w:p>
    <w:p w14:paraId="19970802">
      <w:pPr>
        <w:keepNext w:val="0"/>
        <w:keepLines w:val="0"/>
        <w:widowControl/>
        <w:suppressLineNumbers w:val="0"/>
        <w:ind w:left="0" w:leftChars="0" w:firstLine="700" w:firstLineChars="250"/>
        <w:jc w:val="both"/>
        <w:rPr>
          <w:rFonts w:hint="default" w:ascii="Times New Roman" w:hAnsi="Times New Roman" w:eastAsia="Liberation Serif" w:cs="Times New Roman"/>
          <w:b w:val="0"/>
          <w:bCs w:val="0"/>
          <w:color w:val="000000"/>
          <w:kern w:val="0"/>
          <w:sz w:val="28"/>
          <w:szCs w:val="28"/>
          <w:lang w:val="en-US" w:eastAsia="ru-RU" w:bidi="ar"/>
        </w:rPr>
      </w:pPr>
    </w:p>
    <w:p w14:paraId="52FECCA1">
      <w:pPr>
        <w:keepNext w:val="0"/>
        <w:keepLines w:val="0"/>
        <w:widowControl/>
        <w:suppressLineNumbers w:val="0"/>
        <w:ind w:left="0" w:leftChars="0" w:firstLine="700" w:firstLineChars="250"/>
        <w:jc w:val="both"/>
        <w:rPr>
          <w:rFonts w:hint="default" w:ascii="Times New Roman" w:hAnsi="Times New Roman" w:eastAsia="Liberation Serif" w:cs="Times New Roman"/>
          <w:b w:val="0"/>
          <w:bCs w:val="0"/>
          <w:color w:val="000000"/>
          <w:kern w:val="0"/>
          <w:sz w:val="28"/>
          <w:szCs w:val="28"/>
          <w:lang w:val="en-US" w:eastAsia="ru-RU" w:bidi="ar"/>
        </w:rPr>
      </w:pPr>
    </w:p>
    <w:p w14:paraId="0007EC8D">
      <w:pPr>
        <w:pStyle w:val="9"/>
        <w:rPr>
          <w:rFonts w:ascii="Times New Roman" w:hAnsi="Times New Roman" w:cs="Times New Roman"/>
          <w:b w:val="0"/>
          <w:sz w:val="28"/>
          <w:szCs w:val="28"/>
        </w:rPr>
      </w:pPr>
    </w:p>
    <w:sectPr>
      <w:type w:val="continuous"/>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Liberation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FD235E"/>
    <w:multiLevelType w:val="multilevel"/>
    <w:tmpl w:val="49FD235E"/>
    <w:lvl w:ilvl="0" w:tentative="0">
      <w:start w:val="1"/>
      <w:numFmt w:val="decimal"/>
      <w:pStyle w:val="13"/>
      <w:lvlText w:val="%1."/>
      <w:lvlJc w:val="left"/>
      <w:pPr>
        <w:tabs>
          <w:tab w:val="left" w:pos="1070"/>
        </w:tabs>
        <w:ind w:left="1070" w:hanging="360"/>
      </w:pPr>
      <w:rPr>
        <w:rFonts w:hint="default"/>
      </w:rPr>
    </w:lvl>
    <w:lvl w:ilvl="1" w:tentative="0">
      <w:start w:val="1"/>
      <w:numFmt w:val="decimal"/>
      <w:isLgl/>
      <w:lvlText w:val="%1.%2."/>
      <w:lvlJc w:val="left"/>
      <w:pPr>
        <w:ind w:left="1130" w:hanging="420"/>
      </w:pPr>
      <w:rPr>
        <w:rFonts w:hint="default"/>
      </w:rPr>
    </w:lvl>
    <w:lvl w:ilvl="2" w:tentative="0">
      <w:start w:val="1"/>
      <w:numFmt w:val="decimal"/>
      <w:isLgl/>
      <w:lvlText w:val="%1.%2.%3."/>
      <w:lvlJc w:val="left"/>
      <w:pPr>
        <w:ind w:left="1997" w:hanging="720"/>
      </w:pPr>
      <w:rPr>
        <w:rFonts w:hint="default"/>
      </w:rPr>
    </w:lvl>
    <w:lvl w:ilvl="3" w:tentative="0">
      <w:start w:val="1"/>
      <w:numFmt w:val="decimal"/>
      <w:isLgl/>
      <w:lvlText w:val="%1.%2.%3.%4."/>
      <w:lvlJc w:val="left"/>
      <w:pPr>
        <w:ind w:left="1430" w:hanging="720"/>
      </w:pPr>
      <w:rPr>
        <w:rFonts w:hint="default"/>
      </w:rPr>
    </w:lvl>
    <w:lvl w:ilvl="4" w:tentative="0">
      <w:start w:val="1"/>
      <w:numFmt w:val="decimal"/>
      <w:isLgl/>
      <w:lvlText w:val="%1.%2.%3.%4.%5."/>
      <w:lvlJc w:val="left"/>
      <w:pPr>
        <w:ind w:left="1790" w:hanging="1080"/>
      </w:pPr>
      <w:rPr>
        <w:rFonts w:hint="default"/>
      </w:rPr>
    </w:lvl>
    <w:lvl w:ilvl="5" w:tentative="0">
      <w:start w:val="1"/>
      <w:numFmt w:val="decimal"/>
      <w:isLgl/>
      <w:lvlText w:val="%1.%2.%3.%4.%5.%6."/>
      <w:lvlJc w:val="left"/>
      <w:pPr>
        <w:ind w:left="1790" w:hanging="1080"/>
      </w:pPr>
      <w:rPr>
        <w:rFonts w:hint="default"/>
      </w:rPr>
    </w:lvl>
    <w:lvl w:ilvl="6" w:tentative="0">
      <w:start w:val="1"/>
      <w:numFmt w:val="decimal"/>
      <w:isLgl/>
      <w:lvlText w:val="%1.%2.%3.%4.%5.%6.%7."/>
      <w:lvlJc w:val="left"/>
      <w:pPr>
        <w:ind w:left="2150" w:hanging="1440"/>
      </w:pPr>
      <w:rPr>
        <w:rFonts w:hint="default"/>
      </w:rPr>
    </w:lvl>
    <w:lvl w:ilvl="7" w:tentative="0">
      <w:start w:val="1"/>
      <w:numFmt w:val="decimal"/>
      <w:isLgl/>
      <w:lvlText w:val="%1.%2.%3.%4.%5.%6.%7.%8."/>
      <w:lvlJc w:val="left"/>
      <w:pPr>
        <w:ind w:left="2150" w:hanging="1440"/>
      </w:pPr>
      <w:rPr>
        <w:rFonts w:hint="default"/>
      </w:rPr>
    </w:lvl>
    <w:lvl w:ilvl="8" w:tentative="0">
      <w:start w:val="1"/>
      <w:numFmt w:val="decimal"/>
      <w:isLgl/>
      <w:lvlText w:val="%1.%2.%3.%4.%5.%6.%7.%8.%9."/>
      <w:lvlJc w:val="left"/>
      <w:pPr>
        <w:ind w:left="251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4BD"/>
    <w:rsid w:val="000209DF"/>
    <w:rsid w:val="00044CBF"/>
    <w:rsid w:val="00100644"/>
    <w:rsid w:val="00121D24"/>
    <w:rsid w:val="00123F88"/>
    <w:rsid w:val="0019117E"/>
    <w:rsid w:val="001A40B7"/>
    <w:rsid w:val="001A5F0C"/>
    <w:rsid w:val="001A606C"/>
    <w:rsid w:val="001A78ED"/>
    <w:rsid w:val="001B1BAB"/>
    <w:rsid w:val="00252CE2"/>
    <w:rsid w:val="00267FC7"/>
    <w:rsid w:val="0031697E"/>
    <w:rsid w:val="0034494F"/>
    <w:rsid w:val="003529CD"/>
    <w:rsid w:val="003737CA"/>
    <w:rsid w:val="003D7D88"/>
    <w:rsid w:val="003E1AF2"/>
    <w:rsid w:val="00400C57"/>
    <w:rsid w:val="0042302A"/>
    <w:rsid w:val="00440FE5"/>
    <w:rsid w:val="00452221"/>
    <w:rsid w:val="00456339"/>
    <w:rsid w:val="004779A5"/>
    <w:rsid w:val="004B66D4"/>
    <w:rsid w:val="00502EB5"/>
    <w:rsid w:val="00590C70"/>
    <w:rsid w:val="00592328"/>
    <w:rsid w:val="005D7C04"/>
    <w:rsid w:val="00624F36"/>
    <w:rsid w:val="00683DAE"/>
    <w:rsid w:val="0068472E"/>
    <w:rsid w:val="006D48A0"/>
    <w:rsid w:val="006F17C3"/>
    <w:rsid w:val="00746900"/>
    <w:rsid w:val="00751F49"/>
    <w:rsid w:val="00776D98"/>
    <w:rsid w:val="0078315A"/>
    <w:rsid w:val="007A4621"/>
    <w:rsid w:val="007C1D6C"/>
    <w:rsid w:val="007E6B22"/>
    <w:rsid w:val="007F3840"/>
    <w:rsid w:val="008012C2"/>
    <w:rsid w:val="008037D7"/>
    <w:rsid w:val="008640AD"/>
    <w:rsid w:val="008834F4"/>
    <w:rsid w:val="008A694F"/>
    <w:rsid w:val="008D7CEC"/>
    <w:rsid w:val="008F6981"/>
    <w:rsid w:val="009176DD"/>
    <w:rsid w:val="0099351B"/>
    <w:rsid w:val="009A4428"/>
    <w:rsid w:val="009F44BD"/>
    <w:rsid w:val="00A21CFF"/>
    <w:rsid w:val="00A357E3"/>
    <w:rsid w:val="00A5202C"/>
    <w:rsid w:val="00A776C7"/>
    <w:rsid w:val="00A95618"/>
    <w:rsid w:val="00AA4ECC"/>
    <w:rsid w:val="00AC7282"/>
    <w:rsid w:val="00AF7536"/>
    <w:rsid w:val="00B934FB"/>
    <w:rsid w:val="00BA3B0E"/>
    <w:rsid w:val="00BC0510"/>
    <w:rsid w:val="00BE7115"/>
    <w:rsid w:val="00C15269"/>
    <w:rsid w:val="00C52CAE"/>
    <w:rsid w:val="00C94808"/>
    <w:rsid w:val="00CB0647"/>
    <w:rsid w:val="00D13116"/>
    <w:rsid w:val="00D17D13"/>
    <w:rsid w:val="00E01A77"/>
    <w:rsid w:val="00E139DC"/>
    <w:rsid w:val="00E716D9"/>
    <w:rsid w:val="00EE20CD"/>
    <w:rsid w:val="00F53A65"/>
    <w:rsid w:val="00F77BF2"/>
    <w:rsid w:val="00FE402B"/>
    <w:rsid w:val="030D0F8F"/>
    <w:rsid w:val="059960B0"/>
    <w:rsid w:val="07095017"/>
    <w:rsid w:val="18C3452E"/>
    <w:rsid w:val="1D5E6E3B"/>
    <w:rsid w:val="26905D82"/>
    <w:rsid w:val="4478528E"/>
    <w:rsid w:val="48301F77"/>
    <w:rsid w:val="5CF4010E"/>
    <w:rsid w:val="64D63B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spacing w:before="65"/>
      <w:ind w:left="142" w:right="136" w:firstLine="709"/>
      <w:jc w:val="both"/>
    </w:pPr>
    <w:rPr>
      <w:rFonts w:ascii="Times New Roman" w:hAnsi="Times New Roman" w:eastAsia="Times New Roman" w:cs="Times New Roman"/>
      <w:sz w:val="28"/>
      <w:szCs w:val="20"/>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rPr>
      <w:rFonts w:ascii="Tahoma" w:hAnsi="Tahoma" w:cs="Tahoma"/>
      <w:sz w:val="16"/>
      <w:szCs w:val="16"/>
    </w:rPr>
  </w:style>
  <w:style w:type="paragraph" w:styleId="5">
    <w:name w:val="Body Text"/>
    <w:basedOn w:val="1"/>
    <w:link w:val="14"/>
    <w:qFormat/>
    <w:uiPriority w:val="1"/>
    <w:pPr>
      <w:widowControl w:val="0"/>
      <w:autoSpaceDE w:val="0"/>
      <w:autoSpaceDN w:val="0"/>
      <w:ind w:left="140"/>
    </w:pPr>
    <w:rPr>
      <w:szCs w:val="28"/>
      <w:lang w:eastAsia="en-US"/>
    </w:rPr>
  </w:style>
  <w:style w:type="table" w:styleId="6">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ConsPlusNormal"/>
    <w:qFormat/>
    <w:uiPriority w:val="0"/>
    <w:pPr>
      <w:widowControl w:val="0"/>
      <w:autoSpaceDE w:val="0"/>
      <w:autoSpaceDN w:val="0"/>
      <w:spacing w:before="65"/>
      <w:ind w:left="142" w:right="136" w:firstLine="709"/>
      <w:jc w:val="both"/>
    </w:pPr>
    <w:rPr>
      <w:rFonts w:ascii="Arial" w:hAnsi="Arial" w:cs="Arial" w:eastAsiaTheme="minorEastAsia"/>
      <w:sz w:val="20"/>
      <w:szCs w:val="22"/>
      <w:lang w:val="ru-RU" w:eastAsia="ru-RU" w:bidi="ar-SA"/>
    </w:rPr>
  </w:style>
  <w:style w:type="paragraph" w:customStyle="1" w:styleId="8">
    <w:name w:val="ConsPlusNonformat"/>
    <w:qFormat/>
    <w:uiPriority w:val="0"/>
    <w:pPr>
      <w:widowControl w:val="0"/>
      <w:autoSpaceDE w:val="0"/>
      <w:autoSpaceDN w:val="0"/>
      <w:spacing w:before="65"/>
      <w:ind w:left="142" w:right="136" w:firstLine="709"/>
      <w:jc w:val="both"/>
    </w:pPr>
    <w:rPr>
      <w:rFonts w:ascii="Courier New" w:hAnsi="Courier New" w:cs="Courier New" w:eastAsiaTheme="minorEastAsia"/>
      <w:sz w:val="20"/>
      <w:szCs w:val="22"/>
      <w:lang w:val="ru-RU" w:eastAsia="ru-RU" w:bidi="ar-SA"/>
    </w:rPr>
  </w:style>
  <w:style w:type="paragraph" w:customStyle="1" w:styleId="9">
    <w:name w:val="ConsPlusTitle"/>
    <w:qFormat/>
    <w:uiPriority w:val="0"/>
    <w:pPr>
      <w:widowControl w:val="0"/>
      <w:autoSpaceDE w:val="0"/>
      <w:autoSpaceDN w:val="0"/>
      <w:spacing w:before="65"/>
      <w:ind w:left="142" w:right="136" w:firstLine="709"/>
      <w:jc w:val="both"/>
    </w:pPr>
    <w:rPr>
      <w:rFonts w:ascii="Arial" w:hAnsi="Arial" w:cs="Arial" w:eastAsiaTheme="minorEastAsia"/>
      <w:b/>
      <w:sz w:val="20"/>
      <w:szCs w:val="22"/>
      <w:lang w:val="ru-RU" w:eastAsia="ru-RU" w:bidi="ar-SA"/>
    </w:rPr>
  </w:style>
  <w:style w:type="paragraph" w:customStyle="1" w:styleId="10">
    <w:name w:val="ConsPlusTitlePage"/>
    <w:qFormat/>
    <w:uiPriority w:val="0"/>
    <w:pPr>
      <w:widowControl w:val="0"/>
      <w:autoSpaceDE w:val="0"/>
      <w:autoSpaceDN w:val="0"/>
      <w:spacing w:before="65"/>
      <w:ind w:left="142" w:right="136" w:firstLine="709"/>
      <w:jc w:val="both"/>
    </w:pPr>
    <w:rPr>
      <w:rFonts w:ascii="Tahoma" w:hAnsi="Tahoma" w:cs="Tahoma" w:eastAsiaTheme="minorEastAsia"/>
      <w:sz w:val="20"/>
      <w:szCs w:val="22"/>
      <w:lang w:val="ru-RU" w:eastAsia="ru-RU" w:bidi="ar-SA"/>
    </w:rPr>
  </w:style>
  <w:style w:type="paragraph" w:styleId="11">
    <w:name w:val="List Paragraph"/>
    <w:basedOn w:val="1"/>
    <w:qFormat/>
    <w:uiPriority w:val="1"/>
    <w:pPr>
      <w:ind w:left="720"/>
      <w:contextualSpacing/>
    </w:pPr>
  </w:style>
  <w:style w:type="character" w:customStyle="1" w:styleId="12">
    <w:name w:val="Текст выноски Знак"/>
    <w:basedOn w:val="2"/>
    <w:link w:val="4"/>
    <w:semiHidden/>
    <w:qFormat/>
    <w:uiPriority w:val="99"/>
    <w:rPr>
      <w:rFonts w:ascii="Tahoma" w:hAnsi="Tahoma" w:eastAsia="Times New Roman" w:cs="Tahoma"/>
      <w:sz w:val="16"/>
      <w:szCs w:val="16"/>
      <w:lang w:eastAsia="ru-RU"/>
    </w:rPr>
  </w:style>
  <w:style w:type="paragraph" w:styleId="13">
    <w:name w:val="No Spacing"/>
    <w:qFormat/>
    <w:uiPriority w:val="1"/>
    <w:pPr>
      <w:numPr>
        <w:ilvl w:val="0"/>
        <w:numId w:val="1"/>
      </w:numPr>
      <w:spacing w:before="65"/>
      <w:ind w:left="0" w:right="136" w:firstLine="0"/>
      <w:jc w:val="both"/>
    </w:pPr>
    <w:rPr>
      <w:rFonts w:ascii="Arial" w:hAnsi="Arial" w:eastAsia="Times New Roman" w:cs="Times New Roman"/>
      <w:sz w:val="24"/>
      <w:szCs w:val="20"/>
      <w:lang w:val="ru-RU" w:eastAsia="ru-RU" w:bidi="ar-SA"/>
    </w:rPr>
  </w:style>
  <w:style w:type="character" w:customStyle="1" w:styleId="14">
    <w:name w:val="Основной текст Знак"/>
    <w:basedOn w:val="2"/>
    <w:link w:val="5"/>
    <w:qFormat/>
    <w:uiPriority w:val="1"/>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B737-31B4-426A-8016-791FE0B0DC9C}">
  <ds:schemaRefs/>
</ds:datastoreItem>
</file>

<file path=docProps/app.xml><?xml version="1.0" encoding="utf-8"?>
<Properties xmlns="http://schemas.openxmlformats.org/officeDocument/2006/extended-properties" xmlns:vt="http://schemas.openxmlformats.org/officeDocument/2006/docPropsVTypes">
  <Template>Normal</Template>
  <Pages>6</Pages>
  <Words>1551</Words>
  <Characters>11653</Characters>
  <Lines>37</Lines>
  <Paragraphs>10</Paragraphs>
  <TotalTime>11</TotalTime>
  <ScaleCrop>false</ScaleCrop>
  <LinksUpToDate>false</LinksUpToDate>
  <CharactersWithSpaces>13340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2023-06-22T12:43:00Z</dcterms:created>
  <dc:creator>Пользователь Windows</dc:creator>
  <cp:lastModifiedBy>WPS_1777441706</cp:lastModifiedBy>
  <cp:lastPrinted>2026-08-05T10:15:00Z</cp:lastPrinted>
  <dcterms:modified xsi:type="dcterms:W3CDTF">2026-08-06T10:27:00Z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1049-12.1.0.28032</vt:lpwstr>
  </property>
  <property fmtid="{D5CDD505-2E9C-101B-9397-08002B2CF9AE}" pid="4" name="ICV">
    <vt:lpwstr>89A8BCA9A9E24740B9BF59409D16A79D_13</vt:lpwstr>
  </property>
</Properties>
</file>